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DCBA0" w14:textId="77777777" w:rsidR="00CB2EAA" w:rsidRDefault="00CB2EAA" w:rsidP="00CB2EAA">
      <w:pPr>
        <w:widowControl w:val="0"/>
        <w:spacing w:line="560" w:lineRule="atLeast"/>
        <w:jc w:val="both"/>
        <w:rPr>
          <w:lang w:val="en-US" w:eastAsia="zh-CN" w:bidi="ar-SA"/>
        </w:rPr>
      </w:pPr>
      <w:r>
        <w:rPr>
          <w:rFonts w:ascii="黑体" w:eastAsia="黑体" w:hAnsi="黑体" w:cs="黑体"/>
          <w:sz w:val="32"/>
          <w:szCs w:val="32"/>
          <w:lang w:val="en-US" w:eastAsia="zh-CN" w:bidi="ar-SA"/>
        </w:rPr>
        <w:t>附件</w:t>
      </w:r>
      <w:r>
        <w:rPr>
          <w:rFonts w:eastAsia="Times New Roman"/>
          <w:sz w:val="32"/>
          <w:szCs w:val="32"/>
          <w:lang w:val="en-US" w:eastAsia="zh-CN" w:bidi="ar-SA"/>
        </w:rPr>
        <w:t>5</w:t>
      </w:r>
    </w:p>
    <w:p w14:paraId="2209B775" w14:textId="77777777" w:rsidR="00CB2EAA" w:rsidRDefault="00CB2EAA" w:rsidP="00CB2EAA">
      <w:pPr>
        <w:spacing w:line="440" w:lineRule="atLeast"/>
        <w:jc w:val="center"/>
        <w:rPr>
          <w:lang w:val="en-US" w:eastAsia="zh-CN" w:bidi="ar-SA"/>
        </w:rPr>
      </w:pPr>
      <w:r>
        <w:rPr>
          <w:rFonts w:ascii="方正小标宋简体" w:eastAsia="方正小标宋简体" w:hAnsi="方正小标宋简体" w:cs="方正小标宋简体"/>
          <w:sz w:val="44"/>
          <w:szCs w:val="44"/>
          <w:lang w:val="en-US" w:eastAsia="zh-CN" w:bidi="ar-SA"/>
        </w:rPr>
        <w:t>劳动实践能力模块（</w:t>
      </w:r>
      <w:r>
        <w:rPr>
          <w:rFonts w:eastAsia="Times New Roman"/>
          <w:sz w:val="44"/>
          <w:szCs w:val="44"/>
          <w:lang w:val="en-US" w:eastAsia="zh-CN" w:bidi="ar-SA"/>
        </w:rPr>
        <w:t>M5</w:t>
      </w:r>
      <w:r>
        <w:rPr>
          <w:rFonts w:ascii="方正小标宋简体" w:eastAsia="方正小标宋简体" w:hAnsi="方正小标宋简体" w:cs="方正小标宋简体"/>
          <w:sz w:val="44"/>
          <w:szCs w:val="44"/>
          <w:lang w:val="en-US" w:eastAsia="zh-CN" w:bidi="ar-SA"/>
        </w:rPr>
        <w:t>）测评细则</w:t>
      </w:r>
    </w:p>
    <w:p w14:paraId="69CFC091" w14:textId="77777777" w:rsidR="00CB2EAA" w:rsidRDefault="00CB2EAA" w:rsidP="00CB2EAA">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劳动实践能力是指学生崇尚劳动、尊重劳动、热爱劳动，将专业理论知识转化为实践知识，提高综合素质的能力，包括四方面评价指标，即公益劳动、学生社会工作、社会实践及志愿服务。</w:t>
      </w:r>
    </w:p>
    <w:p w14:paraId="621B7C4D" w14:textId="77777777" w:rsidR="00CB2EAA" w:rsidRDefault="00CB2EAA" w:rsidP="00CB2EAA">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劳动实践能力总分（100分）=公益劳动分值（100分）×30%+学生社会工作分值（100分）×30%+社会实践分值（100分）×20%+志愿服务分值（100分）×20%。</w:t>
      </w:r>
    </w:p>
    <w:p w14:paraId="537C78F4" w14:textId="77777777" w:rsidR="00CB2EAA" w:rsidRDefault="00CB2EAA" w:rsidP="00CB2EAA">
      <w:pPr>
        <w:widowControl w:val="0"/>
        <w:spacing w:line="560" w:lineRule="atLeast"/>
        <w:ind w:firstLine="640"/>
        <w:jc w:val="both"/>
        <w:rPr>
          <w:lang w:val="en-US" w:eastAsia="zh-CN" w:bidi="ar-SA"/>
        </w:rPr>
      </w:pPr>
      <w:r>
        <w:rPr>
          <w:rFonts w:ascii="楷体" w:eastAsia="楷体" w:hAnsi="楷体" w:cs="楷体"/>
          <w:sz w:val="32"/>
          <w:szCs w:val="32"/>
          <w:lang w:val="en-US" w:eastAsia="zh-CN" w:bidi="ar-SA"/>
        </w:rPr>
        <w:t>（一）公益劳动分值（</w:t>
      </w:r>
      <w:r>
        <w:rPr>
          <w:rFonts w:eastAsia="Times New Roman"/>
          <w:sz w:val="32"/>
          <w:szCs w:val="32"/>
          <w:lang w:val="en-US" w:eastAsia="zh-CN" w:bidi="ar-SA"/>
        </w:rPr>
        <w:t>100</w:t>
      </w:r>
      <w:r>
        <w:rPr>
          <w:rFonts w:ascii="楷体" w:eastAsia="楷体" w:hAnsi="楷体" w:cs="楷体"/>
          <w:sz w:val="32"/>
          <w:szCs w:val="32"/>
          <w:lang w:val="en-US" w:eastAsia="zh-CN" w:bidi="ar-SA"/>
        </w:rPr>
        <w:t>分）</w:t>
      </w:r>
    </w:p>
    <w:p w14:paraId="69390074" w14:textId="77777777" w:rsidR="00CB2EAA" w:rsidRDefault="00CB2EAA" w:rsidP="00CB2EAA">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依据学校及院系组织或认定的公益劳动、宿舍卫生打扫等劳动实践活动进行评价，公益劳动中表现优秀为100分，表现良好为80分，表现一般为60分，无故不参与公益劳动为0分。宿舍卫生检查一次不合格扣10分。宿舍卫生检查一次优秀加10分，但不超过此项上限。</w:t>
      </w:r>
    </w:p>
    <w:p w14:paraId="4AD35DD9" w14:textId="77777777" w:rsidR="00CB2EAA" w:rsidRDefault="00CB2EAA" w:rsidP="00CB2EAA">
      <w:pPr>
        <w:widowControl w:val="0"/>
        <w:spacing w:line="560" w:lineRule="atLeast"/>
        <w:ind w:firstLine="640"/>
        <w:jc w:val="both"/>
        <w:rPr>
          <w:lang w:val="en-US" w:eastAsia="zh-CN" w:bidi="ar-SA"/>
        </w:rPr>
      </w:pPr>
      <w:r>
        <w:rPr>
          <w:rFonts w:ascii="楷体" w:eastAsia="楷体" w:hAnsi="楷体" w:cs="楷体"/>
          <w:sz w:val="32"/>
          <w:szCs w:val="32"/>
          <w:lang w:val="en-US" w:eastAsia="zh-CN" w:bidi="ar-SA"/>
        </w:rPr>
        <w:t>（二）学生社会工作分值（</w:t>
      </w:r>
      <w:r>
        <w:rPr>
          <w:rFonts w:eastAsia="Times New Roman"/>
          <w:sz w:val="32"/>
          <w:szCs w:val="32"/>
          <w:lang w:val="en-US" w:eastAsia="zh-CN" w:bidi="ar-SA"/>
        </w:rPr>
        <w:t>100</w:t>
      </w:r>
      <w:r>
        <w:rPr>
          <w:rFonts w:ascii="楷体" w:eastAsia="楷体" w:hAnsi="楷体" w:cs="楷体"/>
          <w:sz w:val="32"/>
          <w:szCs w:val="32"/>
          <w:lang w:val="en-US" w:eastAsia="zh-CN" w:bidi="ar-SA"/>
        </w:rPr>
        <w:t>分）</w:t>
      </w:r>
    </w:p>
    <w:p w14:paraId="29C42367" w14:textId="77777777" w:rsidR="00CB2EAA" w:rsidRDefault="00CB2EAA" w:rsidP="00CB2EAA">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学生社会工作以一学年为任期标准进行考核评分，不满一年者加分减半。校级学生组织的成员由各归属工作指导部门负责考核并计算分值；学校批准注册的其他社团级别及是否参加考核由校团委界定，各社团成员由所在社团挂靠单位负责考核并计算分值，校团委负责统筹；院系学生组织的成员、院系各班级学生由各院系负责考核并计算分值。</w:t>
      </w:r>
    </w:p>
    <w:p w14:paraId="648EEA87" w14:textId="77777777" w:rsidR="00CB2EAA" w:rsidRDefault="00CB2EAA" w:rsidP="00CB2EAA">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lastRenderedPageBreak/>
        <w:t>详细依据《华北电力大学学生组织（社团）成员社会工作考核办法》执行。</w:t>
      </w:r>
    </w:p>
    <w:p w14:paraId="59C81B27" w14:textId="77777777" w:rsidR="00CB2EAA" w:rsidRDefault="00CB2EAA" w:rsidP="00CB2EAA">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注：</w:t>
      </w:r>
    </w:p>
    <w:p w14:paraId="6CC68666" w14:textId="77777777" w:rsidR="00CB2EAA" w:rsidRDefault="00CB2EAA" w:rsidP="00CB2EAA">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1.根据学生处和校团委关于大一学生第一学期不能在学生社团担任职务的有关规定，学生在任何学生组织或社团担任任何职务均不能按一学年加分，只能按一学期加分。</w:t>
      </w:r>
    </w:p>
    <w:p w14:paraId="171EF217" w14:textId="77777777" w:rsidR="00CB2EAA" w:rsidRDefault="00CB2EAA" w:rsidP="00CB2EAA">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2.学院其他学生干部职务的加分标准：</w:t>
      </w:r>
    </w:p>
    <w:p w14:paraId="193A19B9" w14:textId="77777777" w:rsidR="00CB2EAA" w:rsidRDefault="00CB2EAA" w:rsidP="00CB2EAA">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（1）年管会主任、学生党支部副书记按院系学生会主席标准加分。</w:t>
      </w:r>
    </w:p>
    <w:p w14:paraId="64F99EFA" w14:textId="77777777" w:rsidR="00CB2EAA" w:rsidRDefault="00CB2EAA" w:rsidP="00CB2EAA">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（2）年级长、学生党支部委员按院系学生会副主席标准加分；</w:t>
      </w:r>
    </w:p>
    <w:p w14:paraId="5754D5AE" w14:textId="77777777" w:rsidR="00CB2EAA" w:rsidRDefault="00CB2EAA" w:rsidP="00CB2EAA">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（3）学院成立新媒体小组，组长按年级长加分，小组成员按班长、团支书加分。</w:t>
      </w:r>
    </w:p>
    <w:p w14:paraId="6C964D86" w14:textId="77777777" w:rsidR="00CB2EAA" w:rsidRDefault="00CB2EAA" w:rsidP="00CB2EAA">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（4）学院组织成立的足球队、篮球队、排球队、乒乓球队以及其他社团的队长按照班长标准进行加分，副队长按照班委进行加分，队员按照社团成员进行加分。</w:t>
      </w:r>
    </w:p>
    <w:p w14:paraId="5D28FB4C" w14:textId="77777777" w:rsidR="00CB2EAA" w:rsidRDefault="00CB2EAA" w:rsidP="00CB2EAA">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3.每个班级每学期需要与班主任一起开展班会、座谈等不限形式的活动至少2次，每学年至少4次；每个团支部每学期至少开展主题团日活动4次，每学年至少8次，未完成的班级班委和团支部委员加分减半。</w:t>
      </w:r>
    </w:p>
    <w:p w14:paraId="083D88ED" w14:textId="77777777" w:rsidR="00CB2EAA" w:rsidRDefault="00CB2EAA" w:rsidP="00CB2EAA">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4.校团委学生组织/社团指导教师、学院团委学生会指导教师认定工作不合格的学生干部不能加分；被班级罢免的学生干部、被学院团委学生会主席团罢免的学生干部、被辅导员罢免的学生干部不能加分；学期中途自动辞职的学生干部不能加分。</w:t>
      </w:r>
    </w:p>
    <w:p w14:paraId="3BBA984E" w14:textId="77777777" w:rsidR="00CB2EAA" w:rsidRDefault="00CB2EAA" w:rsidP="00CB2EAA">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5.社会工作加分只取最高值，不能累计。</w:t>
      </w:r>
    </w:p>
    <w:p w14:paraId="0071C89F" w14:textId="77777777" w:rsidR="00CB2EAA" w:rsidRDefault="00CB2EAA" w:rsidP="00CB2EAA">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6.社团全部成员：十佳社团</w:t>
      </w:r>
    </w:p>
    <w:p w14:paraId="282A3EE6" w14:textId="77777777" w:rsidR="00CB2EAA" w:rsidRDefault="00CB2EAA" w:rsidP="00CB2EAA">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额外加分4分，不合格社团额外扣分4分。</w:t>
      </w:r>
    </w:p>
    <w:p w14:paraId="77BBCDCD" w14:textId="77777777" w:rsidR="00CB2EAA" w:rsidRDefault="00CB2EAA" w:rsidP="00CB2EAA">
      <w:pPr>
        <w:widowControl w:val="0"/>
        <w:spacing w:line="560" w:lineRule="atLeast"/>
        <w:ind w:firstLine="640"/>
        <w:jc w:val="both"/>
        <w:rPr>
          <w:lang w:val="en-US" w:eastAsia="zh-CN" w:bidi="ar-SA"/>
        </w:rPr>
      </w:pPr>
      <w:r>
        <w:rPr>
          <w:rFonts w:ascii="楷体" w:eastAsia="楷体" w:hAnsi="楷体" w:cs="楷体"/>
          <w:sz w:val="32"/>
          <w:szCs w:val="32"/>
          <w:lang w:val="en-US" w:eastAsia="zh-CN" w:bidi="ar-SA"/>
        </w:rPr>
        <w:t>（三）社会实践分值（</w:t>
      </w:r>
      <w:r>
        <w:rPr>
          <w:rFonts w:eastAsia="Times New Roman"/>
          <w:sz w:val="32"/>
          <w:szCs w:val="32"/>
          <w:lang w:val="en-US" w:eastAsia="zh-CN" w:bidi="ar-SA"/>
        </w:rPr>
        <w:t>100</w:t>
      </w:r>
      <w:r>
        <w:rPr>
          <w:rFonts w:ascii="楷体" w:eastAsia="楷体" w:hAnsi="楷体" w:cs="楷体"/>
          <w:sz w:val="32"/>
          <w:szCs w:val="32"/>
          <w:lang w:val="en-US" w:eastAsia="zh-CN" w:bidi="ar-SA"/>
        </w:rPr>
        <w:t>分）</w:t>
      </w:r>
    </w:p>
    <w:tbl>
      <w:tblPr>
        <w:tblW w:w="7565" w:type="dxa"/>
        <w:jc w:val="center"/>
        <w:tblBorders>
          <w:top w:val="single" w:sz="8" w:space="0" w:color="000000"/>
          <w:left w:val="single" w:sz="8" w:space="0" w:color="000000"/>
          <w:bottom w:val="single" w:sz="8" w:space="0" w:color="000000"/>
          <w:right w:val="single" w:sz="8" w:space="0" w:color="000000"/>
          <w:insideH w:val="nil"/>
          <w:insideV w:val="nil"/>
        </w:tblBorders>
        <w:tblCellMar>
          <w:left w:w="0" w:type="dxa"/>
          <w:right w:w="0" w:type="dxa"/>
        </w:tblCellMar>
        <w:tblLook w:val="04A0" w:firstRow="1" w:lastRow="0" w:firstColumn="1" w:lastColumn="0" w:noHBand="0" w:noVBand="1"/>
      </w:tblPr>
      <w:tblGrid>
        <w:gridCol w:w="1851"/>
        <w:gridCol w:w="4167"/>
        <w:gridCol w:w="1547"/>
      </w:tblGrid>
      <w:tr w:rsidR="00CB2EAA" w14:paraId="2C7547DE" w14:textId="77777777" w:rsidTr="00D062BB">
        <w:trPr>
          <w:trHeight w:val="341"/>
          <w:jc w:val="center"/>
        </w:trPr>
        <w:tc>
          <w:tcPr>
            <w:tcW w:w="1906" w:type="dxa"/>
            <w:tcBorders>
              <w:bottom w:val="single" w:sz="6" w:space="0" w:color="000000"/>
              <w:right w:val="single" w:sz="6" w:space="0" w:color="000000"/>
            </w:tcBorders>
            <w:tcMar>
              <w:top w:w="40" w:type="dxa"/>
              <w:left w:w="55" w:type="dxa"/>
              <w:bottom w:w="38" w:type="dxa"/>
              <w:right w:w="52" w:type="dxa"/>
            </w:tcMar>
            <w:vAlign w:val="center"/>
            <w:hideMark/>
          </w:tcPr>
          <w:p w14:paraId="7AD32B6A" w14:textId="77777777" w:rsidR="00CB2EAA" w:rsidRDefault="00CB2EAA" w:rsidP="00D062BB">
            <w:pPr>
              <w:jc w:val="center"/>
              <w:rPr>
                <w:color w:val="000000"/>
                <w:sz w:val="21"/>
                <w:szCs w:val="21"/>
                <w:lang w:val="en-US" w:eastAsia="zh-CN" w:bidi="ar-SA"/>
              </w:rPr>
            </w:pPr>
            <w:r>
              <w:rPr>
                <w:rFonts w:ascii="宋体" w:eastAsia="宋体" w:hAnsi="宋体" w:cs="宋体"/>
                <w:b/>
                <w:bCs/>
                <w:color w:val="000000"/>
                <w:sz w:val="21"/>
                <w:szCs w:val="21"/>
                <w:lang w:val="en-US" w:eastAsia="zh-CN" w:bidi="ar-SA"/>
              </w:rPr>
              <w:t>项目</w:t>
            </w:r>
          </w:p>
        </w:tc>
        <w:tc>
          <w:tcPr>
            <w:tcW w:w="4303" w:type="dxa"/>
            <w:tcBorders>
              <w:left w:val="single" w:sz="6" w:space="0" w:color="000000"/>
              <w:bottom w:val="single" w:sz="6" w:space="0" w:color="000000"/>
              <w:right w:val="single" w:sz="6" w:space="0" w:color="000000"/>
            </w:tcBorders>
            <w:tcMar>
              <w:top w:w="40" w:type="dxa"/>
              <w:left w:w="52" w:type="dxa"/>
              <w:bottom w:w="38" w:type="dxa"/>
              <w:right w:w="52" w:type="dxa"/>
            </w:tcMar>
            <w:vAlign w:val="center"/>
            <w:hideMark/>
          </w:tcPr>
          <w:p w14:paraId="1235865C" w14:textId="77777777" w:rsidR="00CB2EAA" w:rsidRDefault="00CB2EAA" w:rsidP="00D062BB">
            <w:pPr>
              <w:jc w:val="center"/>
              <w:rPr>
                <w:color w:val="000000"/>
                <w:sz w:val="21"/>
                <w:szCs w:val="21"/>
                <w:lang w:val="en-US" w:eastAsia="zh-CN" w:bidi="ar-SA"/>
              </w:rPr>
            </w:pPr>
            <w:r>
              <w:rPr>
                <w:rFonts w:ascii="宋体" w:eastAsia="宋体" w:hAnsi="宋体" w:cs="宋体"/>
                <w:b/>
                <w:bCs/>
                <w:color w:val="000000"/>
                <w:sz w:val="21"/>
                <w:szCs w:val="21"/>
                <w:lang w:val="en-US" w:eastAsia="zh-CN" w:bidi="ar-SA"/>
              </w:rPr>
              <w:t>内容</w:t>
            </w:r>
          </w:p>
        </w:tc>
        <w:tc>
          <w:tcPr>
            <w:tcW w:w="1586" w:type="dxa"/>
            <w:tcBorders>
              <w:left w:val="single" w:sz="6" w:space="0" w:color="000000"/>
              <w:bottom w:val="single" w:sz="6" w:space="0" w:color="000000"/>
            </w:tcBorders>
            <w:tcMar>
              <w:top w:w="40" w:type="dxa"/>
              <w:left w:w="52" w:type="dxa"/>
              <w:bottom w:w="38" w:type="dxa"/>
              <w:right w:w="55" w:type="dxa"/>
            </w:tcMar>
            <w:vAlign w:val="center"/>
            <w:hideMark/>
          </w:tcPr>
          <w:p w14:paraId="2A702CD9" w14:textId="77777777" w:rsidR="00CB2EAA" w:rsidRDefault="00CB2EAA" w:rsidP="00D062BB">
            <w:pPr>
              <w:jc w:val="center"/>
              <w:rPr>
                <w:color w:val="000000"/>
                <w:sz w:val="21"/>
                <w:szCs w:val="21"/>
                <w:lang w:val="en-US" w:eastAsia="zh-CN" w:bidi="ar-SA"/>
              </w:rPr>
            </w:pPr>
            <w:r>
              <w:rPr>
                <w:rFonts w:ascii="宋体" w:eastAsia="宋体" w:hAnsi="宋体" w:cs="宋体"/>
                <w:b/>
                <w:bCs/>
                <w:color w:val="000000"/>
                <w:sz w:val="21"/>
                <w:szCs w:val="21"/>
                <w:lang w:val="en-US" w:eastAsia="zh-CN" w:bidi="ar-SA"/>
              </w:rPr>
              <w:t>评分</w:t>
            </w:r>
          </w:p>
        </w:tc>
      </w:tr>
      <w:tr w:rsidR="00CB2EAA" w14:paraId="6F6B5F80" w14:textId="77777777" w:rsidTr="00D062BB">
        <w:trPr>
          <w:trHeight w:val="341"/>
          <w:jc w:val="center"/>
        </w:trPr>
        <w:tc>
          <w:tcPr>
            <w:tcW w:w="1906" w:type="dxa"/>
            <w:vMerge w:val="restart"/>
            <w:tcBorders>
              <w:top w:val="single" w:sz="6" w:space="0" w:color="000000"/>
              <w:right w:val="single" w:sz="6" w:space="0" w:color="000000"/>
            </w:tcBorders>
            <w:tcMar>
              <w:top w:w="38" w:type="dxa"/>
              <w:left w:w="55" w:type="dxa"/>
              <w:bottom w:w="40" w:type="dxa"/>
              <w:right w:w="52" w:type="dxa"/>
            </w:tcMar>
            <w:vAlign w:val="center"/>
            <w:hideMark/>
          </w:tcPr>
          <w:p w14:paraId="2A52CA9E" w14:textId="77777777" w:rsidR="00CB2EAA" w:rsidRDefault="00CB2EAA" w:rsidP="00D062BB">
            <w:pPr>
              <w:widowControl w:val="0"/>
              <w:jc w:val="center"/>
              <w:rPr>
                <w:color w:val="000000"/>
                <w:sz w:val="21"/>
                <w:szCs w:val="21"/>
                <w:lang w:val="en-US" w:eastAsia="zh-CN" w:bidi="ar-SA"/>
              </w:rPr>
            </w:pPr>
            <w:r>
              <w:rPr>
                <w:rFonts w:ascii="宋体" w:eastAsia="宋体" w:hAnsi="宋体" w:cs="宋体"/>
                <w:color w:val="000000"/>
                <w:sz w:val="21"/>
                <w:szCs w:val="21"/>
                <w:lang w:val="en-US" w:eastAsia="zh-CN" w:bidi="ar-SA"/>
              </w:rPr>
              <w:t>社会实践</w:t>
            </w:r>
          </w:p>
        </w:tc>
        <w:tc>
          <w:tcPr>
            <w:tcW w:w="4303"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vAlign w:val="center"/>
            <w:hideMark/>
          </w:tcPr>
          <w:p w14:paraId="4533E75D" w14:textId="77777777" w:rsidR="00CB2EAA" w:rsidRDefault="00CB2EAA" w:rsidP="00D062BB">
            <w:pPr>
              <w:jc w:val="center"/>
              <w:rPr>
                <w:color w:val="000000"/>
                <w:sz w:val="21"/>
                <w:szCs w:val="21"/>
                <w:lang w:val="en-US" w:eastAsia="zh-CN" w:bidi="ar-SA"/>
              </w:rPr>
            </w:pPr>
            <w:r>
              <w:rPr>
                <w:rFonts w:ascii="宋体" w:eastAsia="宋体" w:hAnsi="宋体" w:cs="宋体"/>
                <w:color w:val="000000"/>
                <w:sz w:val="21"/>
                <w:szCs w:val="21"/>
                <w:lang w:val="en-US" w:eastAsia="zh-CN" w:bidi="ar-SA"/>
              </w:rPr>
              <w:t>省部级及以上优秀</w:t>
            </w:r>
          </w:p>
        </w:tc>
        <w:tc>
          <w:tcPr>
            <w:tcW w:w="1586" w:type="dxa"/>
            <w:tcBorders>
              <w:top w:val="single" w:sz="6" w:space="0" w:color="000000"/>
              <w:left w:val="single" w:sz="6" w:space="0" w:color="000000"/>
              <w:bottom w:val="single" w:sz="6" w:space="0" w:color="000000"/>
            </w:tcBorders>
            <w:tcMar>
              <w:top w:w="38" w:type="dxa"/>
              <w:left w:w="52" w:type="dxa"/>
              <w:bottom w:w="38" w:type="dxa"/>
              <w:right w:w="55" w:type="dxa"/>
            </w:tcMar>
            <w:vAlign w:val="center"/>
            <w:hideMark/>
          </w:tcPr>
          <w:p w14:paraId="733FBE10" w14:textId="77777777" w:rsidR="00CB2EAA" w:rsidRDefault="00CB2EAA" w:rsidP="00D062BB">
            <w:pPr>
              <w:widowControl w:val="0"/>
              <w:jc w:val="center"/>
              <w:rPr>
                <w:color w:val="000000"/>
                <w:sz w:val="22"/>
                <w:szCs w:val="22"/>
                <w:lang w:val="en-US" w:eastAsia="zh-CN" w:bidi="ar-SA"/>
              </w:rPr>
            </w:pPr>
            <w:r>
              <w:rPr>
                <w:rFonts w:eastAsia="Times New Roman"/>
                <w:color w:val="000000"/>
                <w:sz w:val="22"/>
                <w:szCs w:val="22"/>
                <w:lang w:val="en-US" w:eastAsia="zh-CN" w:bidi="ar-SA"/>
              </w:rPr>
              <w:t>100</w:t>
            </w:r>
          </w:p>
        </w:tc>
      </w:tr>
      <w:tr w:rsidR="00CB2EAA" w14:paraId="4D57053B" w14:textId="77777777" w:rsidTr="00D062BB">
        <w:trPr>
          <w:trHeight w:val="341"/>
          <w:jc w:val="center"/>
        </w:trPr>
        <w:tc>
          <w:tcPr>
            <w:tcW w:w="0" w:type="auto"/>
            <w:vMerge/>
            <w:tcBorders>
              <w:top w:val="single" w:sz="6" w:space="0" w:color="000000"/>
              <w:right w:val="single" w:sz="6" w:space="0" w:color="000000"/>
            </w:tcBorders>
            <w:vAlign w:val="center"/>
            <w:hideMark/>
          </w:tcPr>
          <w:p w14:paraId="053B9CBA" w14:textId="77777777" w:rsidR="00CB2EAA" w:rsidRDefault="00CB2EAA" w:rsidP="00D062BB">
            <w:pPr>
              <w:rPr>
                <w:rFonts w:eastAsia="Times New Roman"/>
                <w:color w:val="000000"/>
                <w:sz w:val="22"/>
                <w:szCs w:val="22"/>
                <w:lang w:val="en-US" w:eastAsia="zh-CN" w:bidi="ar-SA"/>
              </w:rPr>
            </w:pPr>
          </w:p>
        </w:tc>
        <w:tc>
          <w:tcPr>
            <w:tcW w:w="4303"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vAlign w:val="center"/>
            <w:hideMark/>
          </w:tcPr>
          <w:p w14:paraId="5AF83C59" w14:textId="77777777" w:rsidR="00CB2EAA" w:rsidRDefault="00CB2EAA" w:rsidP="00D062BB">
            <w:pPr>
              <w:jc w:val="center"/>
              <w:rPr>
                <w:color w:val="000000"/>
                <w:sz w:val="21"/>
                <w:szCs w:val="21"/>
                <w:lang w:val="en-US" w:eastAsia="zh-CN" w:bidi="ar-SA"/>
              </w:rPr>
            </w:pPr>
            <w:r>
              <w:rPr>
                <w:rFonts w:ascii="宋体" w:eastAsia="宋体" w:hAnsi="宋体" w:cs="宋体"/>
                <w:color w:val="000000"/>
                <w:sz w:val="21"/>
                <w:szCs w:val="21"/>
                <w:lang w:val="en-US" w:eastAsia="zh-CN" w:bidi="ar-SA"/>
              </w:rPr>
              <w:t>地市级优秀</w:t>
            </w:r>
          </w:p>
        </w:tc>
        <w:tc>
          <w:tcPr>
            <w:tcW w:w="1586" w:type="dxa"/>
            <w:tcBorders>
              <w:top w:val="single" w:sz="6" w:space="0" w:color="000000"/>
              <w:left w:val="single" w:sz="6" w:space="0" w:color="000000"/>
              <w:bottom w:val="single" w:sz="6" w:space="0" w:color="000000"/>
            </w:tcBorders>
            <w:tcMar>
              <w:top w:w="38" w:type="dxa"/>
              <w:left w:w="52" w:type="dxa"/>
              <w:bottom w:w="38" w:type="dxa"/>
              <w:right w:w="55" w:type="dxa"/>
            </w:tcMar>
            <w:vAlign w:val="center"/>
            <w:hideMark/>
          </w:tcPr>
          <w:p w14:paraId="003005B1" w14:textId="77777777" w:rsidR="00CB2EAA" w:rsidRDefault="00CB2EAA" w:rsidP="00D062BB">
            <w:pPr>
              <w:widowControl w:val="0"/>
              <w:jc w:val="center"/>
              <w:rPr>
                <w:color w:val="000000"/>
                <w:sz w:val="22"/>
                <w:szCs w:val="22"/>
                <w:lang w:val="en-US" w:eastAsia="zh-CN" w:bidi="ar-SA"/>
              </w:rPr>
            </w:pPr>
            <w:r>
              <w:rPr>
                <w:rFonts w:eastAsia="Times New Roman"/>
                <w:color w:val="000000"/>
                <w:sz w:val="22"/>
                <w:szCs w:val="22"/>
                <w:lang w:val="en-US" w:eastAsia="zh-CN" w:bidi="ar-SA"/>
              </w:rPr>
              <w:t>75</w:t>
            </w:r>
          </w:p>
        </w:tc>
      </w:tr>
      <w:tr w:rsidR="00CB2EAA" w14:paraId="786B55DC" w14:textId="77777777" w:rsidTr="00D062BB">
        <w:trPr>
          <w:trHeight w:val="341"/>
          <w:jc w:val="center"/>
        </w:trPr>
        <w:tc>
          <w:tcPr>
            <w:tcW w:w="0" w:type="auto"/>
            <w:vMerge/>
            <w:tcBorders>
              <w:top w:val="single" w:sz="6" w:space="0" w:color="000000"/>
              <w:right w:val="single" w:sz="6" w:space="0" w:color="000000"/>
            </w:tcBorders>
            <w:vAlign w:val="center"/>
            <w:hideMark/>
          </w:tcPr>
          <w:p w14:paraId="1E708F8A" w14:textId="77777777" w:rsidR="00CB2EAA" w:rsidRDefault="00CB2EAA" w:rsidP="00D062BB">
            <w:pPr>
              <w:rPr>
                <w:rFonts w:eastAsia="Times New Roman"/>
                <w:color w:val="000000"/>
                <w:sz w:val="22"/>
                <w:szCs w:val="22"/>
                <w:lang w:val="en-US" w:eastAsia="zh-CN" w:bidi="ar-SA"/>
              </w:rPr>
            </w:pPr>
          </w:p>
        </w:tc>
        <w:tc>
          <w:tcPr>
            <w:tcW w:w="4303"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vAlign w:val="center"/>
            <w:hideMark/>
          </w:tcPr>
          <w:p w14:paraId="5F3F6098" w14:textId="77777777" w:rsidR="00CB2EAA" w:rsidRDefault="00CB2EAA" w:rsidP="00D062BB">
            <w:pPr>
              <w:jc w:val="center"/>
              <w:rPr>
                <w:color w:val="000000"/>
                <w:sz w:val="21"/>
                <w:szCs w:val="21"/>
                <w:lang w:val="en-US" w:eastAsia="zh-CN" w:bidi="ar-SA"/>
              </w:rPr>
            </w:pPr>
            <w:r>
              <w:rPr>
                <w:rFonts w:ascii="宋体" w:eastAsia="宋体" w:hAnsi="宋体" w:cs="宋体"/>
                <w:color w:val="000000"/>
                <w:sz w:val="21"/>
                <w:szCs w:val="21"/>
                <w:lang w:val="en-US" w:eastAsia="zh-CN" w:bidi="ar-SA"/>
              </w:rPr>
              <w:t>校级优秀</w:t>
            </w:r>
          </w:p>
        </w:tc>
        <w:tc>
          <w:tcPr>
            <w:tcW w:w="1586" w:type="dxa"/>
            <w:tcBorders>
              <w:top w:val="single" w:sz="6" w:space="0" w:color="000000"/>
              <w:left w:val="single" w:sz="6" w:space="0" w:color="000000"/>
              <w:bottom w:val="single" w:sz="6" w:space="0" w:color="000000"/>
            </w:tcBorders>
            <w:tcMar>
              <w:top w:w="38" w:type="dxa"/>
              <w:left w:w="52" w:type="dxa"/>
              <w:bottom w:w="38" w:type="dxa"/>
              <w:right w:w="55" w:type="dxa"/>
            </w:tcMar>
            <w:vAlign w:val="center"/>
            <w:hideMark/>
          </w:tcPr>
          <w:p w14:paraId="1D69A1A7" w14:textId="77777777" w:rsidR="00CB2EAA" w:rsidRDefault="00CB2EAA" w:rsidP="00D062BB">
            <w:pPr>
              <w:widowControl w:val="0"/>
              <w:jc w:val="center"/>
              <w:rPr>
                <w:color w:val="000000"/>
                <w:sz w:val="22"/>
                <w:szCs w:val="22"/>
                <w:lang w:val="en-US" w:eastAsia="zh-CN" w:bidi="ar-SA"/>
              </w:rPr>
            </w:pPr>
            <w:r>
              <w:rPr>
                <w:rFonts w:eastAsia="Times New Roman"/>
                <w:color w:val="000000"/>
                <w:sz w:val="22"/>
                <w:szCs w:val="22"/>
                <w:lang w:val="en-US" w:eastAsia="zh-CN" w:bidi="ar-SA"/>
              </w:rPr>
              <w:t>50</w:t>
            </w:r>
          </w:p>
        </w:tc>
      </w:tr>
      <w:tr w:rsidR="00CB2EAA" w14:paraId="1FC52432" w14:textId="77777777" w:rsidTr="00D062BB">
        <w:trPr>
          <w:trHeight w:val="341"/>
          <w:jc w:val="center"/>
        </w:trPr>
        <w:tc>
          <w:tcPr>
            <w:tcW w:w="0" w:type="auto"/>
            <w:vMerge/>
            <w:tcBorders>
              <w:top w:val="single" w:sz="6" w:space="0" w:color="000000"/>
              <w:right w:val="single" w:sz="6" w:space="0" w:color="000000"/>
            </w:tcBorders>
            <w:vAlign w:val="center"/>
            <w:hideMark/>
          </w:tcPr>
          <w:p w14:paraId="48C9E317" w14:textId="77777777" w:rsidR="00CB2EAA" w:rsidRDefault="00CB2EAA" w:rsidP="00D062BB">
            <w:pPr>
              <w:rPr>
                <w:rFonts w:eastAsia="Times New Roman"/>
                <w:color w:val="000000"/>
                <w:sz w:val="22"/>
                <w:szCs w:val="22"/>
                <w:lang w:val="en-US" w:eastAsia="zh-CN" w:bidi="ar-SA"/>
              </w:rPr>
            </w:pPr>
          </w:p>
        </w:tc>
        <w:tc>
          <w:tcPr>
            <w:tcW w:w="4303"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vAlign w:val="center"/>
            <w:hideMark/>
          </w:tcPr>
          <w:p w14:paraId="0419C11A" w14:textId="77777777" w:rsidR="00CB2EAA" w:rsidRDefault="00CB2EAA" w:rsidP="00D062BB">
            <w:pPr>
              <w:jc w:val="center"/>
              <w:rPr>
                <w:color w:val="000000"/>
                <w:sz w:val="21"/>
                <w:szCs w:val="21"/>
                <w:lang w:val="en-US" w:eastAsia="zh-CN" w:bidi="ar-SA"/>
              </w:rPr>
            </w:pPr>
            <w:r>
              <w:rPr>
                <w:rFonts w:ascii="宋体" w:eastAsia="宋体" w:hAnsi="宋体" w:cs="宋体"/>
                <w:color w:val="000000"/>
                <w:sz w:val="21"/>
                <w:szCs w:val="21"/>
                <w:lang w:val="en-US" w:eastAsia="zh-CN" w:bidi="ar-SA"/>
              </w:rPr>
              <w:t>院系级优秀</w:t>
            </w:r>
          </w:p>
        </w:tc>
        <w:tc>
          <w:tcPr>
            <w:tcW w:w="1586" w:type="dxa"/>
            <w:tcBorders>
              <w:top w:val="single" w:sz="6" w:space="0" w:color="000000"/>
              <w:left w:val="single" w:sz="6" w:space="0" w:color="000000"/>
              <w:bottom w:val="single" w:sz="6" w:space="0" w:color="000000"/>
            </w:tcBorders>
            <w:tcMar>
              <w:top w:w="38" w:type="dxa"/>
              <w:left w:w="52" w:type="dxa"/>
              <w:bottom w:w="38" w:type="dxa"/>
              <w:right w:w="55" w:type="dxa"/>
            </w:tcMar>
            <w:vAlign w:val="center"/>
            <w:hideMark/>
          </w:tcPr>
          <w:p w14:paraId="6B11AA74" w14:textId="77777777" w:rsidR="00CB2EAA" w:rsidRDefault="00CB2EAA" w:rsidP="00D062BB">
            <w:pPr>
              <w:widowControl w:val="0"/>
              <w:jc w:val="center"/>
              <w:rPr>
                <w:color w:val="000000"/>
                <w:sz w:val="22"/>
                <w:szCs w:val="22"/>
                <w:lang w:val="en-US" w:eastAsia="zh-CN" w:bidi="ar-SA"/>
              </w:rPr>
            </w:pPr>
            <w:r>
              <w:rPr>
                <w:rFonts w:eastAsia="Times New Roman"/>
                <w:color w:val="000000"/>
                <w:sz w:val="22"/>
                <w:szCs w:val="22"/>
                <w:lang w:val="en-US" w:eastAsia="zh-CN" w:bidi="ar-SA"/>
              </w:rPr>
              <w:t>40</w:t>
            </w:r>
          </w:p>
        </w:tc>
      </w:tr>
      <w:tr w:rsidR="00CB2EAA" w14:paraId="4EF10401" w14:textId="77777777" w:rsidTr="00D062BB">
        <w:trPr>
          <w:trHeight w:val="360"/>
          <w:jc w:val="center"/>
        </w:trPr>
        <w:tc>
          <w:tcPr>
            <w:tcW w:w="0" w:type="auto"/>
            <w:vMerge/>
            <w:tcBorders>
              <w:top w:val="single" w:sz="6" w:space="0" w:color="000000"/>
              <w:right w:val="single" w:sz="6" w:space="0" w:color="000000"/>
            </w:tcBorders>
            <w:vAlign w:val="center"/>
            <w:hideMark/>
          </w:tcPr>
          <w:p w14:paraId="690A55F9" w14:textId="77777777" w:rsidR="00CB2EAA" w:rsidRDefault="00CB2EAA" w:rsidP="00D062BB">
            <w:pPr>
              <w:rPr>
                <w:rFonts w:eastAsia="Times New Roman"/>
                <w:color w:val="000000"/>
                <w:sz w:val="22"/>
                <w:szCs w:val="22"/>
                <w:lang w:val="en-US" w:eastAsia="zh-CN" w:bidi="ar-SA"/>
              </w:rPr>
            </w:pPr>
          </w:p>
        </w:tc>
        <w:tc>
          <w:tcPr>
            <w:tcW w:w="4303" w:type="dxa"/>
            <w:tcBorders>
              <w:top w:val="single" w:sz="6" w:space="0" w:color="000000"/>
              <w:left w:val="single" w:sz="6" w:space="0" w:color="000000"/>
              <w:right w:val="single" w:sz="6" w:space="0" w:color="000000"/>
            </w:tcBorders>
            <w:tcMar>
              <w:top w:w="38" w:type="dxa"/>
              <w:left w:w="52" w:type="dxa"/>
              <w:bottom w:w="40" w:type="dxa"/>
              <w:right w:w="52" w:type="dxa"/>
            </w:tcMar>
            <w:vAlign w:val="center"/>
            <w:hideMark/>
          </w:tcPr>
          <w:p w14:paraId="4C911A0E" w14:textId="77777777" w:rsidR="00CB2EAA" w:rsidRDefault="00CB2EAA" w:rsidP="00D062BB">
            <w:pPr>
              <w:jc w:val="center"/>
              <w:rPr>
                <w:color w:val="000000"/>
                <w:sz w:val="21"/>
                <w:szCs w:val="21"/>
                <w:lang w:val="en-US" w:eastAsia="zh-CN" w:bidi="ar-SA"/>
              </w:rPr>
            </w:pPr>
            <w:r>
              <w:rPr>
                <w:rFonts w:ascii="宋体" w:eastAsia="宋体" w:hAnsi="宋体" w:cs="宋体"/>
                <w:color w:val="000000"/>
                <w:sz w:val="21"/>
                <w:szCs w:val="21"/>
                <w:lang w:val="en-US" w:eastAsia="zh-CN" w:bidi="ar-SA"/>
              </w:rPr>
              <w:t>参加</w:t>
            </w:r>
          </w:p>
        </w:tc>
        <w:tc>
          <w:tcPr>
            <w:tcW w:w="1586" w:type="dxa"/>
            <w:tcBorders>
              <w:top w:val="single" w:sz="6" w:space="0" w:color="000000"/>
              <w:left w:val="single" w:sz="6" w:space="0" w:color="000000"/>
            </w:tcBorders>
            <w:tcMar>
              <w:top w:w="38" w:type="dxa"/>
              <w:left w:w="52" w:type="dxa"/>
              <w:bottom w:w="40" w:type="dxa"/>
              <w:right w:w="55" w:type="dxa"/>
            </w:tcMar>
            <w:vAlign w:val="center"/>
            <w:hideMark/>
          </w:tcPr>
          <w:p w14:paraId="75A17ACD" w14:textId="77777777" w:rsidR="00CB2EAA" w:rsidRDefault="00CB2EAA" w:rsidP="00D062BB">
            <w:pPr>
              <w:widowControl w:val="0"/>
              <w:jc w:val="center"/>
              <w:rPr>
                <w:color w:val="000000"/>
                <w:sz w:val="22"/>
                <w:szCs w:val="22"/>
                <w:lang w:val="en-US" w:eastAsia="zh-CN" w:bidi="ar-SA"/>
              </w:rPr>
            </w:pPr>
            <w:r>
              <w:rPr>
                <w:rFonts w:eastAsia="Times New Roman"/>
                <w:color w:val="000000"/>
                <w:sz w:val="22"/>
                <w:szCs w:val="22"/>
                <w:lang w:val="en-US" w:eastAsia="zh-CN" w:bidi="ar-SA"/>
              </w:rPr>
              <w:t>25</w:t>
            </w:r>
          </w:p>
        </w:tc>
      </w:tr>
    </w:tbl>
    <w:p w14:paraId="0F338C2F" w14:textId="77777777" w:rsidR="00CB2EAA" w:rsidRDefault="00CB2EAA" w:rsidP="00CB2EAA">
      <w:pPr>
        <w:widowControl w:val="0"/>
        <w:spacing w:line="560" w:lineRule="atLeast"/>
        <w:ind w:firstLine="640"/>
        <w:jc w:val="both"/>
        <w:rPr>
          <w:lang w:val="en-US" w:eastAsia="zh-CN" w:bidi="ar-SA"/>
        </w:rPr>
      </w:pPr>
      <w:r>
        <w:rPr>
          <w:rFonts w:ascii="楷体" w:eastAsia="楷体" w:hAnsi="楷体" w:cs="楷体"/>
          <w:sz w:val="32"/>
          <w:szCs w:val="32"/>
          <w:lang w:val="en-US" w:eastAsia="zh-CN" w:bidi="ar-SA"/>
        </w:rPr>
        <w:t>（四）志愿服务分值（</w:t>
      </w:r>
      <w:r>
        <w:rPr>
          <w:rFonts w:eastAsia="Times New Roman"/>
          <w:sz w:val="32"/>
          <w:szCs w:val="32"/>
          <w:lang w:val="en-US" w:eastAsia="zh-CN" w:bidi="ar-SA"/>
        </w:rPr>
        <w:t>100</w:t>
      </w:r>
      <w:r>
        <w:rPr>
          <w:rFonts w:ascii="楷体" w:eastAsia="楷体" w:hAnsi="楷体" w:cs="楷体"/>
          <w:sz w:val="32"/>
          <w:szCs w:val="32"/>
          <w:lang w:val="en-US" w:eastAsia="zh-CN" w:bidi="ar-SA"/>
        </w:rPr>
        <w:t>分）</w:t>
      </w:r>
    </w:p>
    <w:tbl>
      <w:tblPr>
        <w:tblW w:w="4306" w:type="pct"/>
        <w:jc w:val="center"/>
        <w:tblBorders>
          <w:top w:val="single" w:sz="8" w:space="0" w:color="000000"/>
          <w:left w:val="single" w:sz="8" w:space="0" w:color="000000"/>
          <w:bottom w:val="single" w:sz="8" w:space="0" w:color="000000"/>
          <w:right w:val="single" w:sz="8" w:space="0" w:color="000000"/>
          <w:insideH w:val="nil"/>
          <w:insideV w:val="nil"/>
        </w:tblBorders>
        <w:tblCellMar>
          <w:left w:w="0" w:type="dxa"/>
          <w:right w:w="0" w:type="dxa"/>
        </w:tblCellMar>
        <w:tblLook w:val="04A0" w:firstRow="1" w:lastRow="0" w:firstColumn="1" w:lastColumn="0" w:noHBand="0" w:noVBand="1"/>
      </w:tblPr>
      <w:tblGrid>
        <w:gridCol w:w="1624"/>
        <w:gridCol w:w="4022"/>
        <w:gridCol w:w="1490"/>
      </w:tblGrid>
      <w:tr w:rsidR="00CB2EAA" w14:paraId="06A44F3C" w14:textId="77777777" w:rsidTr="00D062BB">
        <w:trPr>
          <w:trHeight w:val="285"/>
          <w:jc w:val="center"/>
        </w:trPr>
        <w:tc>
          <w:tcPr>
            <w:tcW w:w="1138" w:type="pct"/>
            <w:tcBorders>
              <w:bottom w:val="single" w:sz="6" w:space="0" w:color="000000"/>
              <w:right w:val="single" w:sz="6" w:space="0" w:color="000000"/>
            </w:tcBorders>
            <w:tcMar>
              <w:top w:w="40" w:type="dxa"/>
              <w:left w:w="55" w:type="dxa"/>
              <w:bottom w:w="38" w:type="dxa"/>
              <w:right w:w="52" w:type="dxa"/>
            </w:tcMar>
            <w:vAlign w:val="center"/>
            <w:hideMark/>
          </w:tcPr>
          <w:p w14:paraId="4795972E" w14:textId="77777777" w:rsidR="00CB2EAA" w:rsidRDefault="00CB2EAA" w:rsidP="00D062BB">
            <w:pPr>
              <w:jc w:val="center"/>
              <w:rPr>
                <w:color w:val="000000"/>
                <w:sz w:val="21"/>
                <w:szCs w:val="21"/>
                <w:lang w:val="en-US" w:eastAsia="zh-CN" w:bidi="ar-SA"/>
              </w:rPr>
            </w:pPr>
            <w:r>
              <w:rPr>
                <w:rFonts w:ascii="宋体" w:eastAsia="宋体" w:hAnsi="宋体" w:cs="宋体"/>
                <w:b/>
                <w:bCs/>
                <w:color w:val="000000"/>
                <w:sz w:val="21"/>
                <w:szCs w:val="21"/>
                <w:lang w:val="en-US" w:eastAsia="zh-CN" w:bidi="ar-SA"/>
              </w:rPr>
              <w:t>项目</w:t>
            </w:r>
          </w:p>
        </w:tc>
        <w:tc>
          <w:tcPr>
            <w:tcW w:w="2818" w:type="pct"/>
            <w:tcBorders>
              <w:left w:val="single" w:sz="6" w:space="0" w:color="000000"/>
              <w:bottom w:val="single" w:sz="6" w:space="0" w:color="000000"/>
              <w:right w:val="single" w:sz="6" w:space="0" w:color="000000"/>
            </w:tcBorders>
            <w:tcMar>
              <w:top w:w="40" w:type="dxa"/>
              <w:left w:w="52" w:type="dxa"/>
              <w:bottom w:w="38" w:type="dxa"/>
              <w:right w:w="52" w:type="dxa"/>
            </w:tcMar>
            <w:vAlign w:val="center"/>
            <w:hideMark/>
          </w:tcPr>
          <w:p w14:paraId="50D58AB7" w14:textId="77777777" w:rsidR="00CB2EAA" w:rsidRDefault="00CB2EAA" w:rsidP="00D062BB">
            <w:pPr>
              <w:jc w:val="center"/>
              <w:rPr>
                <w:color w:val="000000"/>
                <w:sz w:val="21"/>
                <w:szCs w:val="21"/>
                <w:lang w:val="en-US" w:eastAsia="zh-CN" w:bidi="ar-SA"/>
              </w:rPr>
            </w:pPr>
            <w:r>
              <w:rPr>
                <w:rFonts w:ascii="宋体" w:eastAsia="宋体" w:hAnsi="宋体" w:cs="宋体"/>
                <w:b/>
                <w:bCs/>
                <w:color w:val="000000"/>
                <w:sz w:val="21"/>
                <w:szCs w:val="21"/>
                <w:lang w:val="en-US" w:eastAsia="zh-CN" w:bidi="ar-SA"/>
              </w:rPr>
              <w:t>内容</w:t>
            </w:r>
          </w:p>
        </w:tc>
        <w:tc>
          <w:tcPr>
            <w:tcW w:w="1044" w:type="pct"/>
            <w:tcBorders>
              <w:left w:val="single" w:sz="6" w:space="0" w:color="000000"/>
              <w:bottom w:val="single" w:sz="6" w:space="0" w:color="000000"/>
            </w:tcBorders>
            <w:tcMar>
              <w:top w:w="40" w:type="dxa"/>
              <w:left w:w="52" w:type="dxa"/>
              <w:bottom w:w="38" w:type="dxa"/>
              <w:right w:w="55" w:type="dxa"/>
            </w:tcMar>
            <w:vAlign w:val="center"/>
            <w:hideMark/>
          </w:tcPr>
          <w:p w14:paraId="2B376181" w14:textId="77777777" w:rsidR="00CB2EAA" w:rsidRDefault="00CB2EAA" w:rsidP="00D062BB">
            <w:pPr>
              <w:jc w:val="center"/>
              <w:rPr>
                <w:color w:val="000000"/>
                <w:sz w:val="21"/>
                <w:szCs w:val="21"/>
                <w:lang w:val="en-US" w:eastAsia="zh-CN" w:bidi="ar-SA"/>
              </w:rPr>
            </w:pPr>
            <w:r>
              <w:rPr>
                <w:rFonts w:ascii="宋体" w:eastAsia="宋体" w:hAnsi="宋体" w:cs="宋体"/>
                <w:b/>
                <w:bCs/>
                <w:color w:val="000000"/>
                <w:sz w:val="21"/>
                <w:szCs w:val="21"/>
                <w:lang w:val="en-US" w:eastAsia="zh-CN" w:bidi="ar-SA"/>
              </w:rPr>
              <w:t>评分</w:t>
            </w:r>
          </w:p>
        </w:tc>
      </w:tr>
      <w:tr w:rsidR="00CB2EAA" w14:paraId="0DA5F870" w14:textId="77777777" w:rsidTr="00D062BB">
        <w:trPr>
          <w:trHeight w:val="270"/>
          <w:jc w:val="center"/>
        </w:trPr>
        <w:tc>
          <w:tcPr>
            <w:tcW w:w="1138" w:type="pct"/>
            <w:vMerge w:val="restart"/>
            <w:tcBorders>
              <w:top w:val="single" w:sz="6" w:space="0" w:color="000000"/>
              <w:right w:val="single" w:sz="6" w:space="0" w:color="000000"/>
            </w:tcBorders>
            <w:tcMar>
              <w:top w:w="38" w:type="dxa"/>
              <w:left w:w="55" w:type="dxa"/>
              <w:bottom w:w="40" w:type="dxa"/>
              <w:right w:w="52" w:type="dxa"/>
            </w:tcMar>
            <w:vAlign w:val="center"/>
            <w:hideMark/>
          </w:tcPr>
          <w:p w14:paraId="68805B34" w14:textId="77777777" w:rsidR="00CB2EAA" w:rsidRDefault="00CB2EAA" w:rsidP="00D062BB">
            <w:pPr>
              <w:widowControl w:val="0"/>
              <w:jc w:val="center"/>
              <w:rPr>
                <w:color w:val="000000"/>
                <w:sz w:val="21"/>
                <w:szCs w:val="21"/>
                <w:lang w:val="en-US" w:eastAsia="zh-CN" w:bidi="ar-SA"/>
              </w:rPr>
            </w:pPr>
            <w:r>
              <w:rPr>
                <w:rFonts w:ascii="宋体" w:eastAsia="宋体" w:hAnsi="宋体" w:cs="宋体"/>
                <w:color w:val="000000"/>
                <w:sz w:val="21"/>
                <w:szCs w:val="21"/>
                <w:lang w:val="en-US" w:eastAsia="zh-CN" w:bidi="ar-SA"/>
              </w:rPr>
              <w:t>志愿服务</w:t>
            </w:r>
          </w:p>
        </w:tc>
        <w:tc>
          <w:tcPr>
            <w:tcW w:w="2818" w:type="pct"/>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vAlign w:val="center"/>
            <w:hideMark/>
          </w:tcPr>
          <w:p w14:paraId="1F37D2C1" w14:textId="77777777" w:rsidR="00CB2EAA" w:rsidRDefault="00CB2EAA" w:rsidP="00D062BB">
            <w:pPr>
              <w:jc w:val="center"/>
              <w:rPr>
                <w:color w:val="000000"/>
                <w:sz w:val="21"/>
                <w:szCs w:val="21"/>
                <w:lang w:val="en-US" w:eastAsia="zh-CN" w:bidi="ar-SA"/>
              </w:rPr>
            </w:pPr>
            <w:r>
              <w:rPr>
                <w:rFonts w:ascii="宋体" w:eastAsia="宋体" w:hAnsi="宋体" w:cs="宋体"/>
                <w:color w:val="000000"/>
                <w:sz w:val="21"/>
                <w:szCs w:val="21"/>
                <w:lang w:val="en-US" w:eastAsia="zh-CN" w:bidi="ar-SA"/>
              </w:rPr>
              <w:t>省部级及以上优秀</w:t>
            </w:r>
          </w:p>
        </w:tc>
        <w:tc>
          <w:tcPr>
            <w:tcW w:w="1044" w:type="pct"/>
            <w:tcBorders>
              <w:top w:val="single" w:sz="6" w:space="0" w:color="000000"/>
              <w:left w:val="single" w:sz="6" w:space="0" w:color="000000"/>
              <w:bottom w:val="single" w:sz="6" w:space="0" w:color="000000"/>
            </w:tcBorders>
            <w:tcMar>
              <w:top w:w="38" w:type="dxa"/>
              <w:left w:w="52" w:type="dxa"/>
              <w:bottom w:w="38" w:type="dxa"/>
              <w:right w:w="55" w:type="dxa"/>
            </w:tcMar>
            <w:vAlign w:val="center"/>
            <w:hideMark/>
          </w:tcPr>
          <w:p w14:paraId="3B9CE911" w14:textId="77777777" w:rsidR="00CB2EAA" w:rsidRDefault="00CB2EAA" w:rsidP="00D062BB">
            <w:pPr>
              <w:widowControl w:val="0"/>
              <w:jc w:val="center"/>
              <w:rPr>
                <w:color w:val="000000"/>
                <w:sz w:val="22"/>
                <w:szCs w:val="22"/>
                <w:lang w:val="en-US" w:eastAsia="zh-CN" w:bidi="ar-SA"/>
              </w:rPr>
            </w:pPr>
            <w:r>
              <w:rPr>
                <w:rFonts w:eastAsia="Times New Roman"/>
                <w:color w:val="000000"/>
                <w:sz w:val="22"/>
                <w:szCs w:val="22"/>
                <w:lang w:val="en-US" w:eastAsia="zh-CN" w:bidi="ar-SA"/>
              </w:rPr>
              <w:t>100</w:t>
            </w:r>
          </w:p>
        </w:tc>
      </w:tr>
      <w:tr w:rsidR="00CB2EAA" w14:paraId="6A014573" w14:textId="77777777" w:rsidTr="00D062BB">
        <w:trPr>
          <w:trHeight w:val="270"/>
          <w:jc w:val="center"/>
        </w:trPr>
        <w:tc>
          <w:tcPr>
            <w:tcW w:w="0" w:type="auto"/>
            <w:vMerge/>
            <w:tcBorders>
              <w:top w:val="single" w:sz="6" w:space="0" w:color="000000"/>
              <w:right w:val="single" w:sz="6" w:space="0" w:color="000000"/>
            </w:tcBorders>
            <w:vAlign w:val="center"/>
            <w:hideMark/>
          </w:tcPr>
          <w:p w14:paraId="33388A33" w14:textId="77777777" w:rsidR="00CB2EAA" w:rsidRDefault="00CB2EAA" w:rsidP="00D062BB">
            <w:pPr>
              <w:rPr>
                <w:rFonts w:eastAsia="Times New Roman"/>
                <w:color w:val="000000"/>
                <w:sz w:val="22"/>
                <w:szCs w:val="22"/>
                <w:lang w:val="en-US" w:eastAsia="zh-CN" w:bidi="ar-SA"/>
              </w:rPr>
            </w:pPr>
          </w:p>
        </w:tc>
        <w:tc>
          <w:tcPr>
            <w:tcW w:w="2818" w:type="pct"/>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vAlign w:val="center"/>
            <w:hideMark/>
          </w:tcPr>
          <w:p w14:paraId="1B1A9222" w14:textId="77777777" w:rsidR="00CB2EAA" w:rsidRDefault="00CB2EAA" w:rsidP="00D062BB">
            <w:pPr>
              <w:jc w:val="center"/>
              <w:rPr>
                <w:color w:val="000000"/>
                <w:sz w:val="21"/>
                <w:szCs w:val="21"/>
                <w:lang w:val="en-US" w:eastAsia="zh-CN" w:bidi="ar-SA"/>
              </w:rPr>
            </w:pPr>
            <w:r>
              <w:rPr>
                <w:rFonts w:ascii="宋体" w:eastAsia="宋体" w:hAnsi="宋体" w:cs="宋体"/>
                <w:color w:val="000000"/>
                <w:sz w:val="21"/>
                <w:szCs w:val="21"/>
                <w:lang w:val="en-US" w:eastAsia="zh-CN" w:bidi="ar-SA"/>
              </w:rPr>
              <w:t>地市级优秀</w:t>
            </w:r>
          </w:p>
        </w:tc>
        <w:tc>
          <w:tcPr>
            <w:tcW w:w="1044" w:type="pct"/>
            <w:tcBorders>
              <w:top w:val="single" w:sz="6" w:space="0" w:color="000000"/>
              <w:left w:val="single" w:sz="6" w:space="0" w:color="000000"/>
              <w:bottom w:val="single" w:sz="6" w:space="0" w:color="000000"/>
            </w:tcBorders>
            <w:tcMar>
              <w:top w:w="38" w:type="dxa"/>
              <w:left w:w="52" w:type="dxa"/>
              <w:bottom w:w="38" w:type="dxa"/>
              <w:right w:w="55" w:type="dxa"/>
            </w:tcMar>
            <w:vAlign w:val="center"/>
            <w:hideMark/>
          </w:tcPr>
          <w:p w14:paraId="6564E064" w14:textId="77777777" w:rsidR="00CB2EAA" w:rsidRDefault="00CB2EAA" w:rsidP="00D062BB">
            <w:pPr>
              <w:widowControl w:val="0"/>
              <w:jc w:val="center"/>
              <w:rPr>
                <w:color w:val="000000"/>
                <w:sz w:val="22"/>
                <w:szCs w:val="22"/>
                <w:lang w:val="en-US" w:eastAsia="zh-CN" w:bidi="ar-SA"/>
              </w:rPr>
            </w:pPr>
            <w:r>
              <w:rPr>
                <w:rFonts w:eastAsia="Times New Roman"/>
                <w:color w:val="000000"/>
                <w:sz w:val="22"/>
                <w:szCs w:val="22"/>
                <w:lang w:val="en-US" w:eastAsia="zh-CN" w:bidi="ar-SA"/>
              </w:rPr>
              <w:t>75</w:t>
            </w:r>
          </w:p>
        </w:tc>
      </w:tr>
      <w:tr w:rsidR="00CB2EAA" w14:paraId="53287414" w14:textId="77777777" w:rsidTr="00D062BB">
        <w:trPr>
          <w:trHeight w:val="285"/>
          <w:jc w:val="center"/>
        </w:trPr>
        <w:tc>
          <w:tcPr>
            <w:tcW w:w="0" w:type="auto"/>
            <w:vMerge/>
            <w:tcBorders>
              <w:top w:val="single" w:sz="6" w:space="0" w:color="000000"/>
              <w:right w:val="single" w:sz="6" w:space="0" w:color="000000"/>
            </w:tcBorders>
            <w:vAlign w:val="center"/>
            <w:hideMark/>
          </w:tcPr>
          <w:p w14:paraId="4DD246E9" w14:textId="77777777" w:rsidR="00CB2EAA" w:rsidRDefault="00CB2EAA" w:rsidP="00D062BB">
            <w:pPr>
              <w:rPr>
                <w:rFonts w:eastAsia="Times New Roman"/>
                <w:color w:val="000000"/>
                <w:sz w:val="22"/>
                <w:szCs w:val="22"/>
                <w:lang w:val="en-US" w:eastAsia="zh-CN" w:bidi="ar-SA"/>
              </w:rPr>
            </w:pPr>
          </w:p>
        </w:tc>
        <w:tc>
          <w:tcPr>
            <w:tcW w:w="2818" w:type="pct"/>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vAlign w:val="center"/>
            <w:hideMark/>
          </w:tcPr>
          <w:p w14:paraId="16F73555" w14:textId="77777777" w:rsidR="00CB2EAA" w:rsidRDefault="00CB2EAA" w:rsidP="00D062BB">
            <w:pPr>
              <w:jc w:val="center"/>
              <w:rPr>
                <w:color w:val="000000"/>
                <w:sz w:val="21"/>
                <w:szCs w:val="21"/>
                <w:lang w:val="en-US" w:eastAsia="zh-CN" w:bidi="ar-SA"/>
              </w:rPr>
            </w:pPr>
            <w:r>
              <w:rPr>
                <w:rFonts w:ascii="宋体" w:eastAsia="宋体" w:hAnsi="宋体" w:cs="宋体"/>
                <w:color w:val="000000"/>
                <w:sz w:val="21"/>
                <w:szCs w:val="21"/>
                <w:lang w:val="en-US" w:eastAsia="zh-CN" w:bidi="ar-SA"/>
              </w:rPr>
              <w:t>校级优秀</w:t>
            </w:r>
          </w:p>
        </w:tc>
        <w:tc>
          <w:tcPr>
            <w:tcW w:w="1044" w:type="pct"/>
            <w:tcBorders>
              <w:top w:val="single" w:sz="6" w:space="0" w:color="000000"/>
              <w:left w:val="single" w:sz="6" w:space="0" w:color="000000"/>
              <w:bottom w:val="single" w:sz="6" w:space="0" w:color="000000"/>
            </w:tcBorders>
            <w:tcMar>
              <w:top w:w="38" w:type="dxa"/>
              <w:left w:w="52" w:type="dxa"/>
              <w:bottom w:w="38" w:type="dxa"/>
              <w:right w:w="55" w:type="dxa"/>
            </w:tcMar>
            <w:vAlign w:val="center"/>
            <w:hideMark/>
          </w:tcPr>
          <w:p w14:paraId="24C5CBCE" w14:textId="77777777" w:rsidR="00CB2EAA" w:rsidRDefault="00CB2EAA" w:rsidP="00D062BB">
            <w:pPr>
              <w:widowControl w:val="0"/>
              <w:jc w:val="center"/>
              <w:rPr>
                <w:color w:val="000000"/>
                <w:sz w:val="22"/>
                <w:szCs w:val="22"/>
                <w:lang w:val="en-US" w:eastAsia="zh-CN" w:bidi="ar-SA"/>
              </w:rPr>
            </w:pPr>
            <w:r>
              <w:rPr>
                <w:rFonts w:eastAsia="Times New Roman"/>
                <w:color w:val="000000"/>
                <w:sz w:val="22"/>
                <w:szCs w:val="22"/>
                <w:lang w:val="en-US" w:eastAsia="zh-CN" w:bidi="ar-SA"/>
              </w:rPr>
              <w:t>50</w:t>
            </w:r>
          </w:p>
        </w:tc>
      </w:tr>
      <w:tr w:rsidR="00CB2EAA" w14:paraId="127C3C3A" w14:textId="77777777" w:rsidTr="00D062BB">
        <w:trPr>
          <w:trHeight w:val="285"/>
          <w:jc w:val="center"/>
        </w:trPr>
        <w:tc>
          <w:tcPr>
            <w:tcW w:w="0" w:type="auto"/>
            <w:vMerge/>
            <w:tcBorders>
              <w:top w:val="single" w:sz="6" w:space="0" w:color="000000"/>
              <w:right w:val="single" w:sz="6" w:space="0" w:color="000000"/>
            </w:tcBorders>
            <w:vAlign w:val="center"/>
            <w:hideMark/>
          </w:tcPr>
          <w:p w14:paraId="51F9FFBA" w14:textId="77777777" w:rsidR="00CB2EAA" w:rsidRDefault="00CB2EAA" w:rsidP="00D062BB">
            <w:pPr>
              <w:rPr>
                <w:rFonts w:eastAsia="Times New Roman"/>
                <w:color w:val="000000"/>
                <w:sz w:val="22"/>
                <w:szCs w:val="22"/>
                <w:lang w:val="en-US" w:eastAsia="zh-CN" w:bidi="ar-SA"/>
              </w:rPr>
            </w:pPr>
          </w:p>
        </w:tc>
        <w:tc>
          <w:tcPr>
            <w:tcW w:w="2818" w:type="pct"/>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vAlign w:val="center"/>
            <w:hideMark/>
          </w:tcPr>
          <w:p w14:paraId="7ED461F3" w14:textId="77777777" w:rsidR="00CB2EAA" w:rsidRDefault="00CB2EAA" w:rsidP="00D062BB">
            <w:pPr>
              <w:jc w:val="center"/>
              <w:rPr>
                <w:color w:val="000000"/>
                <w:sz w:val="21"/>
                <w:szCs w:val="21"/>
                <w:lang w:val="en-US" w:eastAsia="zh-CN" w:bidi="ar-SA"/>
              </w:rPr>
            </w:pPr>
            <w:r>
              <w:rPr>
                <w:rFonts w:ascii="宋体" w:eastAsia="宋体" w:hAnsi="宋体" w:cs="宋体"/>
                <w:color w:val="000000"/>
                <w:sz w:val="21"/>
                <w:szCs w:val="21"/>
                <w:lang w:val="en-US" w:eastAsia="zh-CN" w:bidi="ar-SA"/>
              </w:rPr>
              <w:t>院系级优秀</w:t>
            </w:r>
          </w:p>
        </w:tc>
        <w:tc>
          <w:tcPr>
            <w:tcW w:w="1044" w:type="pct"/>
            <w:tcBorders>
              <w:top w:val="single" w:sz="6" w:space="0" w:color="000000"/>
              <w:left w:val="single" w:sz="6" w:space="0" w:color="000000"/>
              <w:bottom w:val="single" w:sz="6" w:space="0" w:color="000000"/>
            </w:tcBorders>
            <w:tcMar>
              <w:top w:w="38" w:type="dxa"/>
              <w:left w:w="52" w:type="dxa"/>
              <w:bottom w:w="38" w:type="dxa"/>
              <w:right w:w="55" w:type="dxa"/>
            </w:tcMar>
            <w:vAlign w:val="center"/>
            <w:hideMark/>
          </w:tcPr>
          <w:p w14:paraId="34BEB03F" w14:textId="77777777" w:rsidR="00CB2EAA" w:rsidRDefault="00CB2EAA" w:rsidP="00D062BB">
            <w:pPr>
              <w:widowControl w:val="0"/>
              <w:jc w:val="center"/>
              <w:rPr>
                <w:color w:val="000000"/>
                <w:sz w:val="22"/>
                <w:szCs w:val="22"/>
                <w:lang w:val="en-US" w:eastAsia="zh-CN" w:bidi="ar-SA"/>
              </w:rPr>
            </w:pPr>
            <w:r>
              <w:rPr>
                <w:rFonts w:eastAsia="Times New Roman"/>
                <w:color w:val="000000"/>
                <w:sz w:val="22"/>
                <w:szCs w:val="22"/>
                <w:lang w:val="en-US" w:eastAsia="zh-CN" w:bidi="ar-SA"/>
              </w:rPr>
              <w:t>40</w:t>
            </w:r>
          </w:p>
        </w:tc>
      </w:tr>
      <w:tr w:rsidR="00CB2EAA" w14:paraId="5C31E9EE" w14:textId="77777777" w:rsidTr="00D062BB">
        <w:trPr>
          <w:trHeight w:val="421"/>
          <w:jc w:val="center"/>
        </w:trPr>
        <w:tc>
          <w:tcPr>
            <w:tcW w:w="0" w:type="auto"/>
            <w:vMerge/>
            <w:tcBorders>
              <w:top w:val="single" w:sz="6" w:space="0" w:color="000000"/>
              <w:right w:val="single" w:sz="6" w:space="0" w:color="000000"/>
            </w:tcBorders>
            <w:vAlign w:val="center"/>
            <w:hideMark/>
          </w:tcPr>
          <w:p w14:paraId="431F40A8" w14:textId="77777777" w:rsidR="00CB2EAA" w:rsidRDefault="00CB2EAA" w:rsidP="00D062BB">
            <w:pPr>
              <w:rPr>
                <w:rFonts w:eastAsia="Times New Roman"/>
                <w:color w:val="000000"/>
                <w:sz w:val="22"/>
                <w:szCs w:val="22"/>
                <w:lang w:val="en-US" w:eastAsia="zh-CN" w:bidi="ar-SA"/>
              </w:rPr>
            </w:pPr>
          </w:p>
        </w:tc>
        <w:tc>
          <w:tcPr>
            <w:tcW w:w="2818" w:type="pct"/>
            <w:tcBorders>
              <w:top w:val="single" w:sz="6" w:space="0" w:color="000000"/>
              <w:left w:val="single" w:sz="6" w:space="0" w:color="000000"/>
              <w:right w:val="single" w:sz="6" w:space="0" w:color="000000"/>
            </w:tcBorders>
            <w:tcMar>
              <w:top w:w="38" w:type="dxa"/>
              <w:left w:w="52" w:type="dxa"/>
              <w:bottom w:w="40" w:type="dxa"/>
              <w:right w:w="52" w:type="dxa"/>
            </w:tcMar>
            <w:vAlign w:val="center"/>
            <w:hideMark/>
          </w:tcPr>
          <w:p w14:paraId="210040BA" w14:textId="77777777" w:rsidR="00CB2EAA" w:rsidRDefault="00CB2EAA" w:rsidP="00D062BB">
            <w:pPr>
              <w:jc w:val="center"/>
              <w:rPr>
                <w:color w:val="000000"/>
                <w:sz w:val="21"/>
                <w:szCs w:val="21"/>
                <w:lang w:val="en-US" w:eastAsia="zh-CN" w:bidi="ar-SA"/>
              </w:rPr>
            </w:pPr>
            <w:r>
              <w:rPr>
                <w:rFonts w:ascii="宋体" w:eastAsia="宋体" w:hAnsi="宋体" w:cs="宋体"/>
                <w:color w:val="000000"/>
                <w:sz w:val="21"/>
                <w:szCs w:val="21"/>
                <w:lang w:val="en-US" w:eastAsia="zh-CN" w:bidi="ar-SA"/>
              </w:rPr>
              <w:t>各类志愿服务活动，以</w:t>
            </w:r>
            <w:r>
              <w:rPr>
                <w:rFonts w:eastAsia="Times New Roman"/>
                <w:color w:val="000000"/>
                <w:sz w:val="21"/>
                <w:szCs w:val="21"/>
                <w:lang w:val="en-US" w:eastAsia="zh-CN" w:bidi="ar-SA"/>
              </w:rPr>
              <w:t>2</w:t>
            </w:r>
            <w:r>
              <w:rPr>
                <w:rFonts w:ascii="宋体" w:eastAsia="宋体" w:hAnsi="宋体" w:cs="宋体"/>
                <w:color w:val="000000"/>
                <w:sz w:val="21"/>
                <w:szCs w:val="21"/>
                <w:lang w:val="en-US" w:eastAsia="zh-CN" w:bidi="ar-SA"/>
              </w:rPr>
              <w:t>小时为计时单位，一学年</w:t>
            </w:r>
            <w:r>
              <w:rPr>
                <w:rFonts w:eastAsia="Times New Roman"/>
                <w:color w:val="000000"/>
                <w:sz w:val="21"/>
                <w:szCs w:val="21"/>
                <w:lang w:val="en-US" w:eastAsia="zh-CN" w:bidi="ar-SA"/>
              </w:rPr>
              <w:t>40</w:t>
            </w:r>
            <w:r>
              <w:rPr>
                <w:rFonts w:ascii="宋体" w:eastAsia="宋体" w:hAnsi="宋体" w:cs="宋体"/>
                <w:color w:val="000000"/>
                <w:sz w:val="21"/>
                <w:szCs w:val="21"/>
                <w:lang w:val="en-US" w:eastAsia="zh-CN" w:bidi="ar-SA"/>
              </w:rPr>
              <w:t>小时为加分上限</w:t>
            </w:r>
          </w:p>
        </w:tc>
        <w:tc>
          <w:tcPr>
            <w:tcW w:w="1044" w:type="pct"/>
            <w:tcBorders>
              <w:top w:val="single" w:sz="6" w:space="0" w:color="000000"/>
              <w:left w:val="single" w:sz="6" w:space="0" w:color="000000"/>
            </w:tcBorders>
            <w:tcMar>
              <w:top w:w="38" w:type="dxa"/>
              <w:left w:w="52" w:type="dxa"/>
              <w:bottom w:w="40" w:type="dxa"/>
              <w:right w:w="55" w:type="dxa"/>
            </w:tcMar>
            <w:vAlign w:val="center"/>
            <w:hideMark/>
          </w:tcPr>
          <w:p w14:paraId="21BFF54A" w14:textId="77777777" w:rsidR="00CB2EAA" w:rsidRDefault="00CB2EAA" w:rsidP="00D062BB">
            <w:pPr>
              <w:widowControl w:val="0"/>
              <w:jc w:val="center"/>
              <w:rPr>
                <w:color w:val="000000"/>
                <w:sz w:val="22"/>
                <w:szCs w:val="22"/>
                <w:lang w:val="en-US" w:eastAsia="zh-CN" w:bidi="ar-SA"/>
              </w:rPr>
            </w:pPr>
            <w:r>
              <w:rPr>
                <w:rFonts w:eastAsia="Times New Roman"/>
                <w:color w:val="000000"/>
                <w:sz w:val="22"/>
                <w:szCs w:val="22"/>
                <w:lang w:val="en-US" w:eastAsia="zh-CN" w:bidi="ar-SA"/>
              </w:rPr>
              <w:t>5</w:t>
            </w:r>
            <w:r>
              <w:rPr>
                <w:rFonts w:ascii="宋体" w:eastAsia="宋体" w:hAnsi="宋体" w:cs="宋体"/>
                <w:color w:val="000000"/>
                <w:sz w:val="22"/>
                <w:szCs w:val="22"/>
                <w:lang w:val="en-US" w:eastAsia="zh-CN" w:bidi="ar-SA"/>
              </w:rPr>
              <w:t>分</w:t>
            </w:r>
            <w:r>
              <w:rPr>
                <w:rFonts w:eastAsia="Times New Roman"/>
                <w:color w:val="000000"/>
                <w:sz w:val="22"/>
                <w:szCs w:val="22"/>
                <w:lang w:val="en-US" w:eastAsia="zh-CN" w:bidi="ar-SA"/>
              </w:rPr>
              <w:t>/2</w:t>
            </w:r>
            <w:r>
              <w:rPr>
                <w:rFonts w:ascii="宋体" w:eastAsia="宋体" w:hAnsi="宋体" w:cs="宋体"/>
                <w:color w:val="000000"/>
                <w:sz w:val="22"/>
                <w:szCs w:val="22"/>
                <w:lang w:val="en-US" w:eastAsia="zh-CN" w:bidi="ar-SA"/>
              </w:rPr>
              <w:t>小时</w:t>
            </w:r>
          </w:p>
        </w:tc>
      </w:tr>
    </w:tbl>
    <w:p w14:paraId="01E82555" w14:textId="77777777" w:rsidR="00CB2EAA" w:rsidRDefault="00CB2EAA" w:rsidP="00CB2EAA">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注：同一志愿服务所得奖项荣誉加分和志愿时长加分只取最高值，不累加。</w:t>
      </w:r>
    </w:p>
    <w:p w14:paraId="41ECE780" w14:textId="77777777" w:rsidR="00CB2EAA" w:rsidRDefault="00CB2EAA" w:rsidP="00CB2EAA">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无偿献血加分应符合以下条件：</w:t>
      </w:r>
    </w:p>
    <w:p w14:paraId="3879E721" w14:textId="77777777" w:rsidR="00CB2EAA" w:rsidRDefault="00CB2EAA" w:rsidP="00CB2EAA">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1.无偿献血地点不限。</w:t>
      </w:r>
    </w:p>
    <w:p w14:paraId="37A4AE5C" w14:textId="77777777" w:rsidR="00CB2EAA" w:rsidRDefault="00CB2EAA" w:rsidP="00CB2EAA">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2.无偿献血时间必须是在上一学年度内。即从上一学年度开学第一天到下一学年度开学报到前一天内为有效日期；无偿献血时间、地点以无偿献血证书上的时间、地点为准。</w:t>
      </w:r>
    </w:p>
    <w:p w14:paraId="43C1E34D" w14:textId="77777777" w:rsidR="00CB2EAA" w:rsidRDefault="00CB2EAA" w:rsidP="00CB2EAA">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3.无偿献血加分5/次，次数不能超过2次/学年。</w:t>
      </w:r>
    </w:p>
    <w:p w14:paraId="0039DFB0" w14:textId="77777777" w:rsidR="00CB2EAA" w:rsidRDefault="00CB2EAA" w:rsidP="00CB2EAA">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上述材料中有未提及的事项，是否加分以及所加分值解释权归学院所有。</w:t>
      </w:r>
    </w:p>
    <w:p w14:paraId="474706D4" w14:textId="77777777" w:rsidR="00CB2EAA" w:rsidRDefault="00CB2EAA" w:rsidP="00CB2EAA">
      <w:pPr>
        <w:widowControl w:val="0"/>
        <w:spacing w:line="560" w:lineRule="atLeast"/>
        <w:ind w:firstLine="640"/>
        <w:jc w:val="right"/>
        <w:rPr>
          <w:lang w:val="en-US" w:eastAsia="zh-CN" w:bidi="ar-SA"/>
        </w:rPr>
      </w:pPr>
      <w:r>
        <w:rPr>
          <w:rFonts w:ascii="仿宋" w:eastAsia="仿宋" w:hAnsi="仿宋" w:cs="仿宋"/>
          <w:sz w:val="32"/>
          <w:szCs w:val="32"/>
          <w:lang w:val="en-US" w:eastAsia="zh-CN" w:bidi="ar-SA"/>
        </w:rPr>
        <w:t>2023年4月20日</w:t>
      </w:r>
    </w:p>
    <w:p w14:paraId="13C8CDC4" w14:textId="77777777" w:rsidR="008A71A6" w:rsidRDefault="008A71A6"/>
    <w:sectPr w:rsidR="008A71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77F1C" w14:textId="77777777" w:rsidR="00A56197" w:rsidRDefault="00A56197" w:rsidP="00CB2EAA">
      <w:r>
        <w:separator/>
      </w:r>
    </w:p>
  </w:endnote>
  <w:endnote w:type="continuationSeparator" w:id="0">
    <w:p w14:paraId="5203EFF7" w14:textId="77777777" w:rsidR="00A56197" w:rsidRDefault="00A56197" w:rsidP="00CB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00"/>
    <w:family w:val="auto"/>
    <w:pitch w:val="default"/>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CC4C9" w14:textId="77777777" w:rsidR="00A56197" w:rsidRDefault="00A56197" w:rsidP="00CB2EAA">
      <w:r>
        <w:separator/>
      </w:r>
    </w:p>
  </w:footnote>
  <w:footnote w:type="continuationSeparator" w:id="0">
    <w:p w14:paraId="648B97F5" w14:textId="77777777" w:rsidR="00A56197" w:rsidRDefault="00A56197" w:rsidP="00CB2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A6"/>
    <w:rsid w:val="008A71A6"/>
    <w:rsid w:val="00A56197"/>
    <w:rsid w:val="00CB2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4C48508-D8CE-4E75-9978-513A6778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EAA"/>
    <w:rPr>
      <w:rFonts w:ascii="Times New Roman" w:eastAsia="等线"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2EAA"/>
    <w:pPr>
      <w:widowControl w:val="0"/>
      <w:tabs>
        <w:tab w:val="center" w:pos="4153"/>
        <w:tab w:val="right" w:pos="8306"/>
      </w:tabs>
      <w:snapToGrid w:val="0"/>
      <w:jc w:val="center"/>
    </w:pPr>
    <w:rPr>
      <w:rFonts w:asciiTheme="minorHAnsi" w:eastAsiaTheme="minorEastAsia" w:hAnsiTheme="minorHAnsi" w:cstheme="minorBidi"/>
      <w:kern w:val="2"/>
      <w:sz w:val="18"/>
      <w:szCs w:val="18"/>
      <w14:ligatures w14:val="standardContextual"/>
    </w:rPr>
  </w:style>
  <w:style w:type="character" w:customStyle="1" w:styleId="a4">
    <w:name w:val="页眉 字符"/>
    <w:basedOn w:val="a0"/>
    <w:link w:val="a3"/>
    <w:uiPriority w:val="99"/>
    <w:rsid w:val="00CB2EAA"/>
    <w:rPr>
      <w:sz w:val="18"/>
      <w:szCs w:val="18"/>
    </w:rPr>
  </w:style>
  <w:style w:type="paragraph" w:styleId="a5">
    <w:name w:val="footer"/>
    <w:basedOn w:val="a"/>
    <w:link w:val="a6"/>
    <w:uiPriority w:val="99"/>
    <w:unhideWhenUsed/>
    <w:rsid w:val="00CB2EAA"/>
    <w:pPr>
      <w:widowControl w:val="0"/>
      <w:tabs>
        <w:tab w:val="center" w:pos="4153"/>
        <w:tab w:val="right" w:pos="8306"/>
      </w:tabs>
      <w:snapToGrid w:val="0"/>
    </w:pPr>
    <w:rPr>
      <w:rFonts w:asciiTheme="minorHAnsi" w:eastAsiaTheme="minorEastAsia" w:hAnsiTheme="minorHAnsi" w:cstheme="minorBidi"/>
      <w:kern w:val="2"/>
      <w:sz w:val="18"/>
      <w:szCs w:val="18"/>
      <w14:ligatures w14:val="standardContextual"/>
    </w:rPr>
  </w:style>
  <w:style w:type="character" w:customStyle="1" w:styleId="a6">
    <w:name w:val="页脚 字符"/>
    <w:basedOn w:val="a0"/>
    <w:link w:val="a5"/>
    <w:uiPriority w:val="99"/>
    <w:rsid w:val="00CB2E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1066531075@qq.com</dc:creator>
  <cp:keywords/>
  <dc:description/>
  <cp:lastModifiedBy>1066531075@qq.com</cp:lastModifiedBy>
  <cp:revision>2</cp:revision>
  <dcterms:created xsi:type="dcterms:W3CDTF">2023-09-16T10:35:00Z</dcterms:created>
  <dcterms:modified xsi:type="dcterms:W3CDTF">2023-09-16T10:35:00Z</dcterms:modified>
</cp:coreProperties>
</file>